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91" w:rsidRDefault="00936991">
      <w:pPr>
        <w:widowControl w:val="0"/>
        <w:autoSpaceDE w:val="0"/>
        <w:autoSpaceDN w:val="0"/>
        <w:adjustRightInd w:val="0"/>
        <w:jc w:val="both"/>
        <w:outlineLvl w:val="0"/>
      </w:pPr>
    </w:p>
    <w:p w:rsidR="00936991" w:rsidRDefault="0093699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5 июня 2014 г. N 32585</w:t>
      </w:r>
    </w:p>
    <w:p w:rsidR="00936991" w:rsidRDefault="009369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ТРАНСПОРТА РОССИЙСКОЙ ФЕДЕРАЦИИ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января 2014 г. N 7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bookmarkStart w:id="1" w:name="_GoBack"/>
      <w:r>
        <w:rPr>
          <w:b/>
          <w:bCs/>
        </w:rPr>
        <w:t>ПРАВИЛ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ОБЕСПЕЧЕНИЯ БЕЗОПАСНОСТИ ПЕРЕВОЗОК ПАССАЖИРОВ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ГРУЗОВ АВТОМОБИЛЬНЫМ ТРАНСПОРТОМ </w:t>
      </w:r>
      <w:bookmarkEnd w:id="1"/>
      <w:r>
        <w:rPr>
          <w:b/>
          <w:bCs/>
        </w:rPr>
        <w:t>И ГОРОДСКИМ НАЗЕМНЫМ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ЭЛЕКТРИЧЕСКИМ ТРАНСПОРТОМ И ПЕРЕЧНЯ МЕРОПРИЯТИЙ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ПОДГОТОВКЕ РАБОТНИКОВ ЮРИДИЧЕСКИХ ЛИЦ И ИНДИВИДУАЛЬНЫХ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ПРЕДПРИНИМАТЕЛЕЙ, ОСУЩЕСТВЛЯЮЩИХ ПЕРЕВОЗКИ </w:t>
      </w:r>
      <w:proofErr w:type="gramStart"/>
      <w:r>
        <w:rPr>
          <w:b/>
          <w:bCs/>
        </w:rPr>
        <w:t>АВТОМОБИЛЬНЫМ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ТРАНСПОРТОМ И ГОРОДСКИМ НАЗЕМНЫМ ЭЛЕКТРИЧЕСКИМ ТРАНСПОРТОМ,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БЕЗОПАСНОЙ РАБОТЕ И ТРАНСПОРТНЫХ СРЕДСТВ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БЕЗОПАСНОЙ ЭКСПЛУАТАЦИИ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со статьей 20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 (ч. I), ст. 5498;</w:t>
      </w:r>
      <w:proofErr w:type="gramEnd"/>
      <w:r>
        <w:t xml:space="preserve"> </w:t>
      </w:r>
      <w:proofErr w:type="gramStart"/>
      <w:r>
        <w:t>2007, N 46, ст. 5553; N 49, ст. 6070; 2009, N 1, ст. 21; N 48, ст. 5717; 2010, N 30, ст. 4000; N 31, ст. 4196; 2011, N 17, ст. 2310; N 27, ст. 3881; N 29, ст. 4283; N 30 (ч. I), ст. 4590; N 30 (ч. I), ст. 4596;</w:t>
      </w:r>
      <w:proofErr w:type="gramEnd"/>
      <w:r>
        <w:t xml:space="preserve"> 2012, N 25, ст. 3268; N 31, ст. 4320; 2013, N 17, ст. 2032; N 19, ст. 2319; N 27, ст. 3477; N 30 (ч. I), ст. 4029; N 48, ст. 6165; "Российская газета", 2013, N 295) приказываю: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w:anchor="Par43" w:history="1">
        <w:proofErr w:type="gramStart"/>
        <w:r>
          <w:rPr>
            <w:color w:val="0000FF"/>
          </w:rPr>
          <w:t>Правила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(приложение N 1 к настоящему приказу);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w:anchor="Par459" w:history="1">
        <w:r>
          <w:rPr>
            <w:color w:val="0000FF"/>
          </w:rPr>
          <w:t>Перечень</w:t>
        </w:r>
      </w:hyperlink>
      <w:r>
        <w:t xml:space="preserve">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>
        <w:t>дств к б</w:t>
      </w:r>
      <w:proofErr w:type="gramEnd"/>
      <w:r>
        <w:t>езопасной эксплуатации (приложение N 2 к настоящему приказу).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следующие нормативные правовые акты Министерства транспорта Российской Федерации: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от 30 марта 1994 г. N 15 "Об утверждении Требований по обеспечению безопасности дорожного движения, предъявляемых при лицензировании перевозочной деятельности на автомобильном транспорте" (зарегистрирован Минюстом России 4 мая 1994 г., регистрационный N 554);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>
          <w:rPr>
            <w:color w:val="0000FF"/>
          </w:rPr>
          <w:t>инструкцию</w:t>
        </w:r>
      </w:hyperlink>
      <w:r>
        <w:t xml:space="preserve"> от 27 мая 1996 г. "Инструкция по перевозке крупногабаритных и тяжеловесных грузов автомобильным транспортом по дорогам Российской Федерации" (вместе с Перечнем органов, осуществляющих выдачу разрешений на перевозку крупногабаритных и тяжеловесных грузов) (зарегистрирована Минюстом России 8 мая 1996 г., регистрационный N 1146);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от 22 января 2004 г. N 8 "О внесении изменения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23 января 2004 г., </w:t>
      </w:r>
      <w:r>
        <w:lastRenderedPageBreak/>
        <w:t>регистрационный N 5486);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от 21 июля 2011 г. N 191 "О внесении изменений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18 августа 2011 г., регистрационный N 21658);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приказа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М.Ю.СОКОЛОВ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7"/>
      <w:bookmarkEnd w:id="2"/>
      <w:r>
        <w:t>Приложение N 1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приказом Минтранса России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от 15 января 2014 г. N 7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3"/>
      <w:bookmarkEnd w:id="3"/>
      <w:r>
        <w:rPr>
          <w:b/>
          <w:bCs/>
        </w:rPr>
        <w:t>ПРАВИЛА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ОБЕСПЕЧЕНИЯ БЕЗОПАСНОСТИ ПЕРЕВОЗОК ПАССАЖИРОВ И ГРУЗОВ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АВТОМОБИЛЬНЫМ ТРАНСПОРТОМ И ГОРОДСКИМ НАЗЕМНЫМ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ЭЛЕКТРИЧЕСКИМ ТРАНСПОРТОМ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8"/>
      <w:bookmarkEnd w:id="4"/>
      <w:r>
        <w:t>I. Общие положения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1. Правила обеспечения безопасности перевозок пассажиров и грузов автомобильным транспортом и городским наземным электрическим транспортом (далее - Правила) разработаны во исполнение статьи 20 Федерального закона от 10 декабря 1995 г. N 196-ФЗ "О безопасности дорожного движения" &lt;1&gt;.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законодательства Российской Федерации, 1995, N 50, ст. 4873; 1999, N 10, ст. 1158; 2002, N 18, ст. 1721; 2003, N 2, ст. 167; 2004, N 35, ст. 3607; 2006, N 52 (ч. I), ст. 5498; 2007, N 46, ст. 5553; N 49, ст. 6070; 2009, N 1, ст. 21;</w:t>
      </w:r>
      <w:proofErr w:type="gramEnd"/>
      <w:r>
        <w:t xml:space="preserve"> </w:t>
      </w:r>
      <w:proofErr w:type="gramStart"/>
      <w:r>
        <w:t>N 48, ст. 5717; 2010, N 30, ст. 4000; N 31, ст. 4196; 2011, N 17, ст. 2310; N 27, ст. 3881; N 29, ст. 4283; N 30 (ч. I), ст. 4590; N 30 (ч. I), ст. 4596; 2012, N 25, ст. 3268; N 31, ст. 4320; 2013, N 17, ст. 2032;</w:t>
      </w:r>
      <w:proofErr w:type="gramEnd"/>
      <w:r>
        <w:t xml:space="preserve"> N 19, ст. 2319; N 27, ст. 3477; N 30 (ч. I), ст. 4029; N 48, ст. 6165; N 52 (ч. II), ст. 7002).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транспортом, предъявляемые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средств, предназначенных для перевозок пассажиров и грузов (далее - субъекты транспортной деятельности).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3.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7"/>
      <w:bookmarkEnd w:id="5"/>
      <w:r>
        <w:t>II. Требования к организации деятельности по обеспечению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безопасности перевозок пассажиров и грузов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4. К требованиям по обеспечению безопасности перевозок пассажиров и грузов субъектами транспортной деятельности относятся: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обеспечение профессиональной компетентности и профессиональной пригодности работников субъекта транспортной деятельности;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соответствия транспортных средств, используемых в процессе эксплуатации, требованиям законодательства Российской Федерации о техническом регулировании;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безопасных условий перевозок пассажиров и грузов, включая перевозки в особых условиях.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При организации работы, направленной на обеспечение безопасности перевозок пассажиров и грузов, субъект транспортной деятельности осуществляет выполнение и контроль соблюдения требований, установленных пунктом 5 настоящих Правил, а также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перечень которых указан в </w:t>
      </w:r>
      <w:hyperlink w:anchor="Par459" w:history="1">
        <w:r>
          <w:rPr>
            <w:color w:val="0000FF"/>
          </w:rPr>
          <w:t>приложении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приказу (далее - Перечень).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5"/>
      <w:bookmarkEnd w:id="6"/>
      <w:r>
        <w:t xml:space="preserve">Субъект транспортной деятельности или уполномоченное им лицо проводит проверки соблюдения мероприятий, указанных в </w:t>
      </w:r>
      <w:hyperlink w:anchor="Par469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ar470" w:history="1">
        <w:r>
          <w:rPr>
            <w:color w:val="0000FF"/>
          </w:rPr>
          <w:t>1.4</w:t>
        </w:r>
      </w:hyperlink>
      <w:r>
        <w:t xml:space="preserve">, </w:t>
      </w:r>
      <w:hyperlink w:anchor="Par471" w:history="1">
        <w:r>
          <w:rPr>
            <w:color w:val="0000FF"/>
          </w:rPr>
          <w:t>1.5</w:t>
        </w:r>
      </w:hyperlink>
      <w:r>
        <w:t xml:space="preserve">, </w:t>
      </w:r>
      <w:hyperlink w:anchor="Par472" w:history="1">
        <w:r>
          <w:rPr>
            <w:color w:val="0000FF"/>
          </w:rPr>
          <w:t>1.6</w:t>
        </w:r>
      </w:hyperlink>
      <w:r>
        <w:t xml:space="preserve">, </w:t>
      </w:r>
      <w:hyperlink w:anchor="Par477" w:history="1">
        <w:r>
          <w:rPr>
            <w:color w:val="0000FF"/>
          </w:rPr>
          <w:t>2.3</w:t>
        </w:r>
      </w:hyperlink>
      <w:r>
        <w:t xml:space="preserve">, </w:t>
      </w:r>
      <w:hyperlink w:anchor="Par478" w:history="1">
        <w:r>
          <w:rPr>
            <w:color w:val="0000FF"/>
          </w:rPr>
          <w:t>2.4</w:t>
        </w:r>
      </w:hyperlink>
      <w:r>
        <w:t xml:space="preserve">, </w:t>
      </w:r>
      <w:hyperlink w:anchor="Par479" w:history="1">
        <w:r>
          <w:rPr>
            <w:color w:val="0000FF"/>
          </w:rPr>
          <w:t>2.5</w:t>
        </w:r>
      </w:hyperlink>
      <w:r>
        <w:t xml:space="preserve">, </w:t>
      </w:r>
      <w:hyperlink w:anchor="Par480" w:history="1">
        <w:r>
          <w:rPr>
            <w:color w:val="0000FF"/>
          </w:rPr>
          <w:t>2.6</w:t>
        </w:r>
      </w:hyperlink>
      <w:r>
        <w:t xml:space="preserve"> Перечня, в отношении должностного лица, ответственного за обеспечение безопасности дорожного движения, по мере необходимости, но не реже одного раза в квартал.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6"/>
      <w:bookmarkEnd w:id="7"/>
      <w:r>
        <w:t xml:space="preserve">Субъект транспортной деятельности или уполномоченное им лицо проводит проверки соблюдения мероприятий, указанных в </w:t>
      </w:r>
      <w:hyperlink w:anchor="Par467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ar468" w:history="1">
        <w:r>
          <w:rPr>
            <w:color w:val="0000FF"/>
          </w:rPr>
          <w:t>1.2</w:t>
        </w:r>
      </w:hyperlink>
      <w:r>
        <w:t xml:space="preserve">, </w:t>
      </w:r>
      <w:hyperlink w:anchor="Par473" w:history="1">
        <w:r>
          <w:rPr>
            <w:color w:val="0000FF"/>
          </w:rPr>
          <w:t>1.7</w:t>
        </w:r>
      </w:hyperlink>
      <w:r>
        <w:t>, в отношении должностного лица, ответственного за обеспечение безопасности дорожного движения, по мере необходимости, не реже одного раза в шесть месяцев.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Результаты проверок, указанных в </w:t>
      </w:r>
      <w:hyperlink w:anchor="Par6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6" w:history="1">
        <w:r>
          <w:rPr>
            <w:color w:val="0000FF"/>
          </w:rPr>
          <w:t>третьем</w:t>
        </w:r>
      </w:hyperlink>
      <w:r>
        <w:t xml:space="preserve"> настоящего пункта, оформляются документально.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целях предупреждения дорожно-транспортных происшествий (далее - ДТП) субъект транспортной деятельности осуществляет ежегодное планирование мероприятий, указанных в </w:t>
      </w:r>
      <w:hyperlink w:anchor="Par459" w:history="1">
        <w:r>
          <w:rPr>
            <w:color w:val="0000FF"/>
          </w:rPr>
          <w:t>Перечне</w:t>
        </w:r>
      </w:hyperlink>
      <w:r>
        <w:t>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осуществлении указанного анализа устанавливаются: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в отношении работника субъекта транспортной деятельности, управлявшего транспортным средством (далее - водитель):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средстве, а также по возможности те же сведения о других водителях - участниках ДТП;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прохождение водителем медицинского освидетельствования на состояние опьянения. </w:t>
      </w:r>
      <w:proofErr w:type="gramStart"/>
      <w:r>
        <w:t>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водителем в предшествовавший ДТП период режима труда и отдыха;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соблюдение водителем законодательства Российской Федерации о безопасности </w:t>
      </w:r>
      <w:r>
        <w:lastRenderedPageBreak/>
        <w:t>дорожного движения и настоящих Правил;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происшествию, наличие взысканий у данного водителя в течение года;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повышения квалификации и профессионального мастерства водителя, соблюдение условий стажировки водителя;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в отношении транспортного средства: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модель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неисправностей транспортного средства в момент ДТП;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диагностической карты, подтверждающей прохождение технического осмотра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технического обслуживания и ремонта транспортного средства, включая: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периодичность технического обслуживания транспортного средства и сроки проведения последнего технического обслуживания транспортного средства, а также лицо, ответственное за его проведение;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межсервисного пробега;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и перечень неисправностей, обнаруженных при техническом обслуживании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3) в отношении должностных лиц субъекта транспортной деятельности: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лица, осуществлявшего предрейсовый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предрейсового контроля технического состояния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настоящими Правилами;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лица, осуществлявшего предрейсовый медицинский осмотр, соответствие указанного лица квалификационным и профессиональным требованиям, соблюдение условий и порядка проведения предрейсового медицинского осмотра;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положений законодательства Российской Федерации о безопасности дорожного движения и настоящих Правил;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95"/>
      <w:bookmarkEnd w:id="8"/>
      <w:r>
        <w:t>III. Обеспечение профессиональной компетентности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и профессиональной пригодности работников субъекта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транспортной деятельности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7. Обеспечение профессиональной компетентности и профессиональной пригодности водителей достигается: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проведением профессионального отбора и профессиональной подготовки водителей;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контролем состояния здоровья водителей, соблюдением режима труда и отдыха в процессе их работы;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прохождением инструктажа по безопасности перевозок.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 Обеспечение профессиональной компетентности работников, непосредственно связанных с движением транспортных средств (за исключением водителей), достигается: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проведением профессионального отбора и профессиональной подготовки работников, непосредственно связанных с движением транспортных средств (за исключением водителей);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наличием у субъекта транспортной деятельности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&lt;1&gt;.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Абзац второй пункта 4 статьи 20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9. Профессиональный отбор и профессиональная подготовка работников, непосредственно связанных с движением транспортных средств, проводятся в соответствии с законодательством Российской Федерации.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10. Субъект транспортной деятельности обязан обеспечить контроль состояния здоровья водителей транспортных средств, не допускать к управлению транспортными средствами лиц, находящихся в состоянии опьянения (алкогольного, наркотического или иного токсического).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Субъект транспортной деятельности обязан 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от 10 декабря 1995 г. N 196-ФЗ "О безопасности дорожного движения" организовывать проведение обязательных медицинских осмотров водителей.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водителей, а также направлять их на очередной медицинский осмотр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медицинские осмотры (обследования), и Порядка проведения обязательных</w:t>
      </w:r>
      <w:proofErr w:type="gramEnd"/>
      <w:r>
        <w:t xml:space="preserve"> </w:t>
      </w:r>
      <w:proofErr w:type="gramStart"/>
      <w: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"О внесении изменения в приложение N 2 к приказу Министерства здравоохранения и социального развития Российской Федерации</w:t>
      </w:r>
      <w:proofErr w:type="gramEnd"/>
      <w:r>
        <w:t xml:space="preserve"> </w:t>
      </w:r>
      <w:proofErr w:type="gramStart"/>
      <w:r>
        <w:t>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3 июля 2013</w:t>
      </w:r>
      <w:proofErr w:type="gramEnd"/>
      <w:r>
        <w:t xml:space="preserve"> г., регистрационный N 28970).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Субъект транспортной деятельности имеет право в случае </w:t>
      </w:r>
      <w:proofErr w:type="gramStart"/>
      <w:r>
        <w:t>обнаружения признаков ухудшения состояния здоровья</w:t>
      </w:r>
      <w:proofErr w:type="gramEnd"/>
      <w:r>
        <w:t xml:space="preserve"> водителя, угрожающего безопасности движения, направить его на внеочередное обязательное медицинское освидетельствование.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14.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работников, склонных к злоупотреблению алкогольными напитками, употреблению наркотических или иных средств, страдающих хроническими заболеваниями, влияющими на выполнение трудовых функций.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</w:t>
      </w:r>
      <w:r>
        <w:lastRenderedPageBreak/>
        <w:t>времени отдыха водителей.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6"/>
      <w:bookmarkEnd w:id="9"/>
      <w:r>
        <w:t>16. Субъект транспортной деятельности обязан обеспечить водителей следующей информацией: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7"/>
      <w:bookmarkEnd w:id="10"/>
      <w:r>
        <w:t>1) о погодных условиях движения на маршруте;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о местах организации отдыха и приема пищи, размещении объектов санитарно-бытового обслуживания;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3) о местах стоянки транспортных средств;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4) о телефонах дежурных частей подразделений Госавтоинспекции МВД России по маршруту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5) об особенностях обеспечения безопасности движения и эксплуатации транспортных сре</w:t>
      </w:r>
      <w:proofErr w:type="gramStart"/>
      <w:r>
        <w:t>дств пр</w:t>
      </w:r>
      <w:proofErr w:type="gramEnd"/>
      <w:r>
        <w:t>и сезонных изменениях погодных и дорожных условий;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6) 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водителей субъекта транспортной деятельности;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3"/>
      <w:bookmarkEnd w:id="11"/>
      <w:r>
        <w:t>7) 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8) о действиях водителя в ситуациях, связанных с несоблюдением графика движения транспортного средства по независящим от него причинам;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9) о маршруте движения транспортного средства, перевозящего пассажиров, условиях и режимах движения на маршруте, местах концентрации ДТП на маршрутах регулярных перевозок пассажиров;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10) о порядке определения полной и осевой массы транспортного средства, о правилах загрузки транспортных средств и проведения весового и габаритного контроля при перевозке грузов.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Информация, указанная в </w:t>
      </w:r>
      <w:hyperlink w:anchor="Par116" w:history="1">
        <w:r>
          <w:rPr>
            <w:color w:val="0000FF"/>
          </w:rPr>
          <w:t>пункте 16</w:t>
        </w:r>
      </w:hyperlink>
      <w:r>
        <w:t xml:space="preserve"> настоящих Правил, должна доводиться до водителей путем проведения вводного, предрейсового, сезонного, специального инструктажей.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18. Вводный инструктаж проводится со всеми водителями при приеме их на работу независимо от уровня квалификации и стажа работы. В тематику вводного инструктажа включаются следующие вопросы: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по организации и безопасной эксплуатации транспортных средств, предъявляемые к водителю, осуществляющему деятельность у данного субъекта транспортной деятельности;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внутреннего трудового распорядка;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прохождения предрейсового и послерейсового медицинских осмотров;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прохождения предрейсового контроля технического состояния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нормы загрузки транспортных средств (для пассажирских перевозок - пассажировместимость);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обслуживания лиц с ограниченными возможностями здоровья или инвалидов с нарушениями функций опорно-двигательного аппарата, зрения, слуха (для пассажирских перевозок);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основные данные об аварийности на маршрутной сети, обстоятельствах и причинах преобладающих видов ДТП;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необходимые для осуществления перевозок пассажиров и (или) грузов.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19. Предрейсовый инструктаж проводится: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отправлении водителя по маршруту движения впервые;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перевозке детей;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перевозке опасных, крупногабаритных и тяжеловесных грузов.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 тематику предрейсового инструктажа включаются следующие вопросы: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конечные, промежуточные пункты маршрута, места отдыха, приема пищи, смены водителей (при необходимости), стоянки транспортных средств;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расположение на маршруте пунктов медицинской и технической помощи, постов Госавтоинспекции МВД России, диспетчерских пунктов, автовокзалов и автостанций;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условия работы водителя при увеличении интенсивности движения транспортных и пешеходных потоков;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безопасность движения в период каникул учащихся;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об изменениях в организации перевозок, об особенностях проезда железнодорожных переездов, путепроводов и других искусственных сооружений, пользования паромными переправами и наплавными мостами;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меры предосторожности при преодолении затяжных спусков и подъемов;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действия водителя в ситуациях, связанных с несоблюдением графика движения транспортного средства по независящим от него причинам (при перевозке пассажиров по регулярным маршрутам);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посадки, высадки и перевозки лиц с ограниченными возможностями здоровья или инвалидов с нарушениями функций опорно-двигательного аппарата, зрения, слуха, применительно к конкретному маршруту движения (при перевозке пассажиров);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подачи автобуса к месту посадки пассажиров (при перевозке детей);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посадки и высадки детей, их перевозки, взаимодействия водителя с лицами, сопровождающими детей (при перевозке детей).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</w:t>
      </w:r>
      <w:proofErr w:type="gramStart"/>
      <w:r>
        <w:t>Сезонные инструктажи проводятся со всеми водителями два раза в год - в весенне-летний и осенне-зимний периоды.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 тематику сезонных инструктажей включаются вопросы, определяющие особенности эксплуатации и управления транспортных сре</w:t>
      </w:r>
      <w:proofErr w:type="gramStart"/>
      <w:r>
        <w:t>дств в в</w:t>
      </w:r>
      <w:proofErr w:type="gramEnd"/>
      <w:r>
        <w:t>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21. Специальный инструктаж проводится со всеми водителями при необходимости срочного доведения до них информации в случаях: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вступления в силу нормативных правовых актов, положения которых влияют на профессиональную деятельность водителей;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 маршрута движения и условий движения, влияющих на безопасность дорожного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получения информации о ДТП с человеческими жертвами, значительным материальным и экологическим ущербом;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совершения и (или) угрозы совершения террористических актов.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проведении инструктажа дается оценка сложившейся ситуации и порядок необходимых действий водителя.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22. Субъекту транспортной деятельности запрещается допускать водителей к работе, связанной с управлением транспортными средствами, без прохождения ими соответствующих инструктажей.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23. Субъектом транспортной деятельности осуществляется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проведения. Результаты этого учета хранятся субъектом транспортной деятельности в течение не менее трех лет.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65"/>
      <w:bookmarkEnd w:id="12"/>
      <w:r>
        <w:t xml:space="preserve">IV. Обеспечение безопасности </w:t>
      </w:r>
      <w:proofErr w:type="gramStart"/>
      <w:r>
        <w:t>эксплуатируемых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транспортных средств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24. Субъект транспортной деятельности обязан обеспечить безопасность транспортных средств, используемых для выполнения перевозок пассажиров и грузов в процессе эксплуатации.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25. Для выполнения перевозок пассажиров и грузов необходимо использовать транспортные средства, допущенные к эксплуатации в установленном порядке.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26.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27. Субъект транспортной деятельности обязан обеспечить организацию технического обслуживания и ремонта используемых транспортных сре</w:t>
      </w:r>
      <w:proofErr w:type="gramStart"/>
      <w:r>
        <w:t>дств в с</w:t>
      </w:r>
      <w:proofErr w:type="gramEnd"/>
      <w:r>
        <w:t>оответствии с предписаниями изготовителя.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Транспортное средство, техническое состояние которого не соответствует требованиям безопасности, установленным </w:t>
      </w:r>
      <w:hyperlink r:id="rId13" w:history="1">
        <w:r>
          <w:rPr>
            <w:color w:val="0000FF"/>
          </w:rPr>
          <w:t>Основными положениями</w:t>
        </w:r>
      </w:hyperlink>
      <w:r>
        <w:t xml:space="preserve">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- Правительства Российской Федерации от 23 октября 1993 г. N 1090 &lt;1&gt;,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актов Президента и Правительства Российской Федерации, 1993, N 47, ст. 4531; Собрание законодательства Российской Федерации, 2000, N 18, ст. 1985; 2001, N 11, ст. 1029; 2002, N 9, ст. 931; 2003, N 20, ст. 1899; N 40, ст. 3891; 2005, N 52 (ч. III), ст. 5733; 2006, N 11, ст. 1179;</w:t>
      </w:r>
      <w:proofErr w:type="gramEnd"/>
      <w:r>
        <w:t xml:space="preserve"> 2008, N 8, ст. 741; N 17, ст. 1882; 2009, N 5, ст. 610; 2010, N 9, ст. 976; N 20, ст. 2471; 2012, N 15, ст. 1780; N 30, ст. 4289; 2012, N 47, ст. 6505; 2013, N 5, ст. 404.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28. Субъект транспортной деятельности обязан обеспечить проведение предрейсового контроля технического состояния транспортного средства.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Запрещается выпуск на линию транспортных средств, не прошедших предрейсовый контроль технического состояния.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29. Сведения о проведенном контроле технического состояния транспортного средства и месте его проведения фиксируются в путевых листах. Контроль технического состояния транспортных сре</w:t>
      </w:r>
      <w:proofErr w:type="gramStart"/>
      <w:r>
        <w:t>дств пр</w:t>
      </w:r>
      <w:proofErr w:type="gramEnd"/>
      <w:r>
        <w:t>и выпуске на линию (возврате с линии) обеспечивается работником субъекта транспортной деятельности, осуществляющим допуск транспортных средств к эксплуатации.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30. Для перевозки крупногабаритных и (или) тяжеловесных грузов используются транспортные средства (в том числе составы транспортных средств), оснащенные системой автоматического (аварийного) торможения, которые соответствуют требованиям законодательства Российской Федерации о техническом регулировании.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При перевозке крупногабаритных грузов должны соблюдаться установленные условия видимости в зеркалах заднего вида с обеих сторон, которые обеспечивают водителю достаточный </w:t>
      </w:r>
      <w:proofErr w:type="gramStart"/>
      <w:r>
        <w:t>обзор</w:t>
      </w:r>
      <w:proofErr w:type="gramEnd"/>
      <w:r>
        <w:t xml:space="preserve"> как при прямолинейном, так и при криволинейном движении с учетом габаритов транспортного средства и перевозимого груза.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82"/>
      <w:bookmarkEnd w:id="13"/>
      <w:r>
        <w:t>V. Обеспечение безопасных условий перевозок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пассажиров и грузов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32. Обеспечение безопасных условий перевозок пассажиров и грузов достигается: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обеспечением безопасных условий перевозок грузов;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обеспечением безопасных условий организации регулярных перевозок пассажиров;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обеспечением безопасных условий организации и осуществления перевозок пассажиров по заказам;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обеспечением безопасных условий организации и осуществления перевозок пассажиров легковым такси;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обеспечением безопасных перевозок пассажиров и грузов в особых условиях.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192"/>
      <w:bookmarkEnd w:id="14"/>
      <w:r>
        <w:t>Обеспечение безопасных условий перевозок грузов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33. Разрешенная максимальная масса транспортного средства и осевая нагрузка не должны превышать предельных значений, указанных в паспорте транспортного средства.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При размещении груза на транспортном средстве должны соблюдаться значения весовых и габаритных параметров, установленных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Российской Федерации от 15 апреля 2011 г. N 272 &lt;1&gt;, а также обеспечиваться условия равномерного распределения массы груза по всей площади платформы или кузова транспортного средства, контейнера.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2011, N 17, ст. 2407; 2012, N 10, ст. 1223.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35.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36. При размещении груза учитываются следующие требования: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настилом платформы (кузова) и в середине длины платформы (кузова);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штабеля;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грузы с меньшей объемной массой размещаются на грузы с большой объемной массой;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свободное пространство, зазоры между штабелями груза и стенками кузова заполняются при помощи прокладок, надувных емкостей и других устройств.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37. При погрузке 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38. 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39. </w:t>
      </w:r>
      <w:proofErr w:type="gramStart"/>
      <w:r>
        <w:t>Грузы в стандартных транспортных пакетах (таре, упаковках) размещаются в кузове транспортного средства, в контейнере в соответствии с установленной схемой размещения для данного типа (модели) транспортного средства, контейнера с учетом технических условий изготовителя соответствующей продукции, предъявленной для перевозки.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40. При перевозках грузов навалом и насыпью (грунт, глина, гравий, песчаногравийная смесь и др.) грузоотправитель при погрузке должен равномерно размещать их в кузове автомобиля с таким расчетом,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</w:t>
      </w:r>
      <w:r>
        <w:lastRenderedPageBreak/>
        <w:t>по их заполнению.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42. Не допускается для перевозки грузов использовать кузова, имеющие: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повреждения настила пола и бортов;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неисправные стойки, петли и рукоятки запорных устройств;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внешние и внутренние повреждения, разрывы, перекосы кузова, а также тента бортовой платформы.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43. При определении способов крепления груза учитываются следующие силы, действующие на груз во время движения транспортного средства: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продольные горизонтальные инерционные силы, возникающие в процессе торможения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поперечные горизонтальные силы, возникающие при движении транспортного средства на поворотах и на закруглениях дороги;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вертикальные силы, возникающие при колебаниях движущегося транспортного средства;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сила трения (сила, действующая за счет трения между грузом и прилегающих поверхностей при движении груза);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сила тяжести (вес груза).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Величины сил, действующих на груз, должны компенсировать: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силу, равную 0,8 веса груза, в направлении вперед (продольном горизонтальном по ходу движения транспортного средства);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Сила трения определяется с учетом коэффициента трения, а сила тяжести - с учетом ускорения свободного падения.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44. Бортовые платформы, грузовые площадки для размещения груза, кузова оборудуются приспособлениями для увязки и крепления груза.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Средства крепления, которые предотвращают движение груза, должны находиться максимально близко к полу кузова транспортного средства, и угол между средством крепления и поверхностью пола кузова (платформы) должен составлять не более 60°.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45. Для крепления груза не применяются: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совместно различные средства крепления (ремень с тросом, ремень с цепью и другие);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механические вспомогательные средства (штанги, рычаги, монтировки и другие средства, не предназначенные для крепления груза);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завязанные узлом крепежные ремни, цепи, тросы.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46. 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47. Крепежные ремни запрещается применять в следующих случаях: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образовании разрывов, поперечных трещин или надрезов, расслоений, значительных очагов коррозии металлических частей, повреждении зажимных или соединительных элементов;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повреждении несущих швов;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маркировки крепежного ремня.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48. Крепежные тросы запрещается применять в следующих случаях: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износе троса, когда его номинальный диаметр уменьшен более чем на 10%;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сплющиваниях, когда трос сдавлен более чем на 15% или он имеет острый кант.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49. Крепежные цепи запрещается применять в следующих случаях: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уменьшении толщины звеньев в любом месте более чем на 10% номинальной толщины;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удлинении звена посредством любой деформации более чем на 5%;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надрезах.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50.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51. Перевозка крупногабаритных и (или) тяжеловесных грузов возможна в случаях, когда груз не может быть разделен на части без риска его повреждения.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движение транспортных средств, перевозящих крупногабаритные грузы, организованными колоннами.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52. Для обеспечения безопасности при перевозке крупногабаритных и (или) тяжеловесных грузов и информирования других участников дорожного движения о его габаритах, перечисленных в </w:t>
      </w:r>
      <w:hyperlink w:anchor="Par388" w:history="1">
        <w:r>
          <w:rPr>
            <w:color w:val="0000FF"/>
          </w:rPr>
          <w:t>таблице</w:t>
        </w:r>
      </w:hyperlink>
      <w:r>
        <w:t xml:space="preserve"> "Обязательные условия использования автомобилей прикрытия" (приложение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Правилам), необходимо использование автомобилей прикрытия.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53. Автомобиль прикрытия должен двигаться: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перед транспортным средством: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безопасном для движения расстоянии (с учетом установленной скорости движения), уступом с левой стороны по отношению к транспортному средству, перевозящему крупногабаритный и (или) тяжеловесный груз, таким образом, чтобы его габарит по ширине выступал за габарит сопровождаемого транспортного средства с информационным светоотражающим или световым табло, указанным в </w:t>
      </w:r>
      <w:hyperlink w:anchor="Par265" w:history="1">
        <w:r>
          <w:rPr>
            <w:color w:val="0000FF"/>
          </w:rPr>
          <w:t>пункте 56</w:t>
        </w:r>
      </w:hyperlink>
      <w:r>
        <w:t xml:space="preserve"> настоящих Правил, обращенным вперед;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4,5 метра;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позади транспортного средства с информационным светоотражающим или с внутренним освещением табло, указанным в </w:t>
      </w:r>
      <w:hyperlink w:anchor="Par254" w:history="1">
        <w:r>
          <w:rPr>
            <w:color w:val="0000FF"/>
          </w:rPr>
          <w:t>пункте 54</w:t>
        </w:r>
      </w:hyperlink>
      <w:r>
        <w:t xml:space="preserve"> настоящих Правил, обращенным назад.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автомобиля прикрытия позади транспортного средства необходимо также в случаях,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54"/>
      <w:bookmarkEnd w:id="15"/>
      <w:r>
        <w:t>54. Автомобиль прикрытия должен: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иметь светоотражающие желто-оранжевые полосы;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быть </w:t>
      </w:r>
      <w:proofErr w:type="gramStart"/>
      <w:r>
        <w:t>оборудован</w:t>
      </w:r>
      <w:proofErr w:type="gramEnd"/>
      <w:r>
        <w:t>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двумя проблесковыми маячками желтого или оранжевого цвета (допускается применение проблесковых маячков, конструктивно объединенных в одном корпусе);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информационным светоотражающим или световым табло желтого цвета размером один метр на 0,5 метра с текстом "БОЛЬШАЯ ШИРИНА", "БОЛЬШАЯ ДЛИНА", выполненным из световозвращающей пленки синего цвета с высотой шрифта 14 см;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устройством для определения высоты искусственных сооружений и других инженерных коммуникаций.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Проблесковый маячок устанавливается на крыше транспортного средства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55.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ширине транспортного средства с крупногабаритным грузом свыше 3,5 метра - "БОЛЬШАЯ ШИРИНА";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длине транспортного средства с крупногабаритным грузом более 25 метров и при одновременной ширине не более 3,5 метра - "БОЛЬШАЯ ДЛИНА";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при ширине транспортного средства с крупногабаритным грузом свыше 3,5 метра и одновременной длине более 25 метров на автомобиле прикрытия, следующим впереди, - "БОЛЬШАЯ ШИРИНА", а на автомобиле прикрытия, следующим позади, - "БОЛЬШАЯ ДЛИНА".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65"/>
      <w:bookmarkEnd w:id="16"/>
      <w:r>
        <w:t xml:space="preserve">56. В случаях, когда ширина транспортного средства превышает пять метров или длина транспортного средства превышает 35 метров, или когда на двухполосных дорогах при движении крупногабаритного транспортного средства ширина проезжей части для встречного движения </w:t>
      </w:r>
      <w:proofErr w:type="gramStart"/>
      <w:r>
        <w:t>составляет менее трех метров необходима</w:t>
      </w:r>
      <w:proofErr w:type="gramEnd"/>
      <w:r>
        <w:t xml:space="preserve"> разработка проекта организации дорожного движения по маршруту или участку маршрута.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Указанный проект должен содержать следующие сведения: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схема и описание маршрута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характеристики и параметры транспортных средств, участвующих в движении;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схем</w:t>
      </w:r>
      <w:proofErr w:type="gramStart"/>
      <w:r>
        <w:t>а(</w:t>
      </w:r>
      <w:proofErr w:type="gramEnd"/>
      <w:r>
        <w:t>ы) размещения и крепления груза;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график движения по маршруту с учетом интенсивности дорожного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схемы организации движения и прикрытия на участках, имеющих ограниченную видимость, и места, указанные в </w:t>
      </w:r>
      <w:hyperlink r:id="rId15" w:history="1">
        <w:r>
          <w:rPr>
            <w:color w:val="0000FF"/>
          </w:rPr>
          <w:t>графе "Особые условия"</w:t>
        </w:r>
      </w:hyperlink>
      <w:r>
        <w:t xml:space="preserve"> специального разрешения, утвержденного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&lt;1&gt;, с указанием расположения автомобилей прикрытия, схемы изменения организации дорожного</w:t>
      </w:r>
      <w:proofErr w:type="gramEnd"/>
      <w:r>
        <w:t xml:space="preserve">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проезда наиболее сложных участков маршрута (поворотов, перекрестков, железнодорожных переездов, сужений проезжей части, участков с выездом на полосу встречного направления движения и с ограниченной видимостью) с нанесенной на схему траекторией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места осуществления контрольных промеров габаритов искусственных сооружений и коммуникаций в процессе перевозки;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необходимости полного или частичного перекрытия движения на участках дороги;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места остановок и стоянок для отдыха и пропуска попутных (встречных) транспортных средств.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Изложенные в проекте сведения должны подтверждаться фотоматериалами, отражающими реальное состояние объектов дорожной инфраструктуры.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организации дорожного движения подается субъектом транспортной деятельности в уполномоченный орган по выдаче специального разрешения в </w:t>
      </w:r>
      <w:hyperlink r:id="rId17" w:history="1">
        <w:r>
          <w:rPr>
            <w:color w:val="0000FF"/>
          </w:rPr>
          <w:t>порядке</w:t>
        </w:r>
      </w:hyperlink>
      <w:r>
        <w:t xml:space="preserve"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При необходимости выполнения специального проекта на перевозку крупногабаритных и (или) тяжеловесных грузов проект организации дорожного движения включается составной частью в специальный проект. Уполномоченный орган по выдаче специального разрешения представляет данный проект в подразделение </w:t>
      </w:r>
      <w:r>
        <w:lastRenderedPageBreak/>
        <w:t>Госавтоинспекции МВД России, осуществляющее согласование специального разрешения.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57. Размещение и крепление крупногабаритного и (или) тяжеловесного груза на транспортном средстве должно соответствовать схеме крепления груза, разработанной его производителем.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фонарями (сигналами) желтого или оранжевого цвета.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58. </w:t>
      </w:r>
      <w:proofErr w:type="gramStart"/>
      <w:r>
        <w:t xml:space="preserve">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</w:t>
      </w:r>
      <w:hyperlink r:id="rId18" w:history="1">
        <w:r>
          <w:rPr>
            <w:color w:val="0000FF"/>
          </w:rPr>
          <w:t>порядке</w:t>
        </w:r>
      </w:hyperlink>
      <w:r>
        <w:t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59. Во время перевозки крупногабаритных и (или) тяжеловесных грузов запрещается: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отклоняться от установленного в специальном разрешении маршрута;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превышать указанную в разрешении скорость движения;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осуществлять движение во время гололеда, снегопада, а также при метеорологической видимости менее 100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осуществлять движение по обочине дороги, если такой порядок не определен условиями перевозки;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останавливаться вне специально обозначенных стоянок, расположенных за пределами проезжей части;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60. В случае если во время движения возникли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293"/>
      <w:bookmarkEnd w:id="17"/>
      <w:r>
        <w:t>Обеспечение безопасных условий организации регулярных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перевозок пассажиров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61. Маршруты регулярных перевозок пассажиров автобусами организуются на автомобильных дорогах I - IV категорий, а троллейбусами - на автомобильных дорогах I - III категорий.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>
        <w:t>2</w:t>
      </w:r>
      <w:proofErr w:type="gramEnd"/>
      <w:r>
        <w:t>,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деятельности, а также местных уширений проезжей части, достаточных для разъезда транспортных сре</w:t>
      </w:r>
      <w:proofErr w:type="gramStart"/>
      <w:r>
        <w:t>дств в з</w:t>
      </w:r>
      <w:proofErr w:type="gramEnd"/>
      <w:r>
        <w:t>оне видимости с транспортными средствами встречного направления движения с соблюдением Правил дорожного движения и требований безопасности, предъявляемых к транспортным средствам, обеспечивающим данные перевозки.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62. Субъект транспортной деятельности, осуществляющий регулярные перевозки пассажиров, обязан: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обеспечить каждого водителя следующими документами: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путевым листом;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расписанием (графиком) движения по маршруту регулярных перевозок;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схемой маршрута с указанием опасных участков;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осуществлять при выполнении перевозок контроль соблюдения расписания (графика) движения и норм предельной вместимости транспортных средств, соответствия пути движения транспортных средств установленным маршрутам регулярных перевозок.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63. Организация автобусного маршрута регулярных перевозок пассажиров, проходящего через нерегулируемый железнодорожный переезд, осуществляется по согласованию с владельцем данного переезда.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64. Запрещается организация маршрута регулярных перевозок городского наземного электрического транспорта, проходящего через железнодорожные переезды основных магистралей общей сети, электрифицированные внешние и внутренние подъездные пути.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65.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66. Запрещается отклонение от установленного схемой маршрута пути следования, осуществление остановок в местах, не предусмотренных схемой маршрута (кроме случаев, когда это вызвано необходимостью обеспечения безопасности перевозок и дорожного движения).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67. Субъекты транспортной деятельности должны проводить контроль выполнения всех рейсов, предусмотренных расписанием движения транспортных средств на обслуживаемых ими маршрутах регулярных перевозок пассажиров, анализировать причины несоблюдения водителем расписания (графика) движения и при необходимости корректировать расписание (график) движения.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2"/>
      </w:pPr>
      <w:bookmarkStart w:id="18" w:name="Par310"/>
      <w:bookmarkEnd w:id="18"/>
      <w:r>
        <w:t>Обеспечение безопасных условий организации и осуществления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перевозок пассажиров по заказам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68.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69.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2"/>
      </w:pPr>
      <w:bookmarkStart w:id="19" w:name="Par316"/>
      <w:bookmarkEnd w:id="19"/>
      <w:r>
        <w:t>Обеспечение безопасных условий организации и осуществления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перевозок пассажиров легковым такси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70. Субъект транспортной деятельности обязан обеспечить водителя легкового такси информацией, перечисленной в </w:t>
      </w:r>
      <w:hyperlink w:anchor="Par11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3" w:history="1">
        <w:r>
          <w:rPr>
            <w:color w:val="0000FF"/>
          </w:rPr>
          <w:t>7 пункта 16</w:t>
        </w:r>
      </w:hyperlink>
      <w:r>
        <w:t xml:space="preserve"> настоящих Правил.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71. При перевозках пассажиров и багажа в междугородном сообщении легковым такси багаж должен размещаться только в багажных отсеках и (или) в прицепе.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322"/>
      <w:bookmarkEnd w:id="20"/>
      <w:r>
        <w:t>Обеспечение безопасности перевозок пассажиров и грузов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r>
        <w:t>в особых условиях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72. К особым условиям перевозок пассажиров и грузов относятся: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перевозки по зимникам, в условиях бездорожья, переправам через водные преграды;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перевозки по маршрутам, проходящим в горной местности, с резкими изменениями направлений в плане и затяжными продольными уклонами и имеющие в совокупности следующие особенности: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продольные уклоны величиной более 60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>
            <v:imagedata r:id="rId19" o:title=""/>
          </v:shape>
        </w:pict>
      </w:r>
      <w:r>
        <w:t xml:space="preserve"> и протяженностью 2 км и более;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кривые с радиусами в плане менее 100 метров в количестве шести и более на 1 км;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выпуклые кривые продольного профиля с радиусами менее 1500 метров и вогнутые кривые с радиусами менее 1200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расстояние видимости поверхности дороги менее 60 метров и встречного автомобиля - менее 120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3) маршруты, проходящие по трудным участкам пересеченной местности;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33"/>
      <w:bookmarkEnd w:id="21"/>
      <w:r>
        <w:t>4) движение трамваев на прямолинейных участках с уклонами: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70</w:t>
      </w:r>
      <w:r>
        <w:rPr>
          <w:position w:val="-10"/>
        </w:rPr>
        <w:pict>
          <v:shape id="_x0000_i1026" type="#_x0000_t75" style="width:15.75pt;height:15.75pt">
            <v:imagedata r:id="rId19" o:title=""/>
          </v:shape>
        </w:pict>
      </w:r>
      <w:r>
        <w:t xml:space="preserve"> при непрерывной протяженности свыше 200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60</w:t>
      </w:r>
      <w:r>
        <w:rPr>
          <w:position w:val="-10"/>
        </w:rPr>
        <w:pict>
          <v:shape id="_x0000_i1027" type="#_x0000_t75" style="width:15.75pt;height:15.75pt">
            <v:imagedata r:id="rId19" o:title=""/>
          </v:shape>
        </w:pict>
      </w:r>
      <w:r>
        <w:t xml:space="preserve"> при непрерывной протяженности свыше 250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50</w:t>
      </w:r>
      <w:r>
        <w:rPr>
          <w:position w:val="-10"/>
        </w:rPr>
        <w:pict>
          <v:shape id="_x0000_i1028" type="#_x0000_t75" style="width:15.75pt;height:15.75pt">
            <v:imagedata r:id="rId19" o:title=""/>
          </v:shape>
        </w:pict>
      </w:r>
      <w:r>
        <w:t xml:space="preserve"> при непрерывной протяженности свыше 350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40</w:t>
      </w:r>
      <w:r>
        <w:rPr>
          <w:position w:val="-10"/>
        </w:rPr>
        <w:pict>
          <v:shape id="_x0000_i1029" type="#_x0000_t75" style="width:15.75pt;height:15.75pt">
            <v:imagedata r:id="rId19" o:title=""/>
          </v:shape>
        </w:pict>
      </w:r>
      <w:r>
        <w:t xml:space="preserve"> при непрерывной протяженности свыше 500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30</w:t>
      </w:r>
      <w:r>
        <w:rPr>
          <w:position w:val="-10"/>
        </w:rPr>
        <w:pict>
          <v:shape id="_x0000_i1030" type="#_x0000_t75" style="width:15.75pt;height:15.75pt">
            <v:imagedata r:id="rId19" o:title=""/>
          </v:shape>
        </w:pict>
      </w:r>
      <w:r>
        <w:t xml:space="preserve"> при непрерывной протяженности свыше 700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или эквивалентные им уклоны на указанной протяженности, определенные по формуле: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32"/>
        </w:rPr>
        <w:pict>
          <v:shape id="_x0000_i1031" type="#_x0000_t75" style="width:55.5pt;height:39pt">
            <v:imagedata r:id="rId20" o:title=""/>
          </v:shape>
        </w:pict>
      </w:r>
      <w:r>
        <w:t xml:space="preserve"> </w:t>
      </w:r>
      <w:r>
        <w:rPr>
          <w:position w:val="-14"/>
        </w:rPr>
        <w:pict>
          <v:shape id="_x0000_i1032" type="#_x0000_t75" style="width:26.25pt;height:20.25pt">
            <v:imagedata r:id="rId21" o:title=""/>
          </v:shape>
        </w:pict>
      </w:r>
      <w:r>
        <w:t>,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pict>
          <v:shape id="_x0000_i1033" type="#_x0000_t75" style="width:9.75pt;height:18pt">
            <v:imagedata r:id="rId22" o:title=""/>
          </v:shape>
        </w:pict>
      </w:r>
      <w:r>
        <w:t xml:space="preserve"> - величина уклона</w:t>
      </w:r>
      <w:proofErr w:type="gramStart"/>
      <w:r>
        <w:t xml:space="preserve">, </w:t>
      </w:r>
      <w:r>
        <w:pict>
          <v:shape id="_x0000_i1034" type="#_x0000_t75" style="width:15.75pt;height:15.75pt">
            <v:imagedata r:id="rId19" o:title=""/>
          </v:shape>
        </w:pict>
      </w:r>
      <w:r>
        <w:t>;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35" type="#_x0000_t75" style="width:14.25pt;height:18pt">
            <v:imagedata r:id="rId23" o:title=""/>
          </v:shape>
        </w:pict>
      </w:r>
      <w:r>
        <w:t xml:space="preserve"> - протяженность уклона, </w:t>
      </w:r>
      <w:proofErr w:type="gramStart"/>
      <w:r>
        <w:t>м</w:t>
      </w:r>
      <w:proofErr w:type="gramEnd"/>
      <w:r>
        <w:t>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30</w:t>
      </w:r>
      <w:r>
        <w:rPr>
          <w:position w:val="-10"/>
        </w:rPr>
        <w:pict>
          <v:shape id="_x0000_i1036" type="#_x0000_t75" style="width:15.75pt;height:15.75pt">
            <v:imagedata r:id="rId19" o:title=""/>
          </v:shape>
        </w:pict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346"/>
      <w:bookmarkEnd w:id="22"/>
      <w:r>
        <w:t>5) движение троллейбусов на прямолинейных участках с уклонами: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60</w:t>
      </w:r>
      <w:r>
        <w:rPr>
          <w:position w:val="-10"/>
        </w:rPr>
        <w:pict>
          <v:shape id="_x0000_i1037" type="#_x0000_t75" style="width:15.75pt;height:15.75pt">
            <v:imagedata r:id="rId19" o:title=""/>
          </v:shape>
        </w:pict>
      </w:r>
      <w:r>
        <w:t xml:space="preserve"> при непрерывной протяженности свыше 100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50</w:t>
      </w:r>
      <w:r>
        <w:rPr>
          <w:position w:val="-10"/>
        </w:rPr>
        <w:pict>
          <v:shape id="_x0000_i1038" type="#_x0000_t75" style="width:15.75pt;height:15.75pt">
            <v:imagedata r:id="rId19" o:title=""/>
          </v:shape>
        </w:pict>
      </w:r>
      <w:r>
        <w:t xml:space="preserve"> при непрерывной протяженности свыше 150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40</w:t>
      </w:r>
      <w:r>
        <w:rPr>
          <w:position w:val="-10"/>
        </w:rPr>
        <w:pict>
          <v:shape id="_x0000_i1039" type="#_x0000_t75" style="width:15.75pt;height:15.75pt">
            <v:imagedata r:id="rId19" o:title=""/>
          </v:shape>
        </w:pict>
      </w:r>
      <w:r>
        <w:t xml:space="preserve"> при непрерывной протяженности свыше 200 метров;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или эквивалентные им уклоны на указанной протяженности, определенные по формуле, приведенной в </w:t>
      </w:r>
      <w:hyperlink w:anchor="Par3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более 30</w:t>
      </w:r>
      <w:r>
        <w:rPr>
          <w:position w:val="-10"/>
        </w:rPr>
        <w:pict>
          <v:shape id="_x0000_i1040" type="#_x0000_t75" style="width:15.75pt;height:15.75pt">
            <v:imagedata r:id="rId19" o:title=""/>
          </v:shape>
        </w:pict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73. </w:t>
      </w:r>
      <w:proofErr w:type="gramStart"/>
      <w:r>
        <w:t>Перевозки пассажиров и грузов по маршрутам, проходящим по зимникам, в условиях бездорожья, переправам через водные преграды (переправные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осуществляются только при условии уведомления организаций, осуществляющих эксплуатацию зимников, переправ, по которым предполагается осуществить перевозку.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74. Водители, осуществляющие переправу через водные преграды и движение по зимникам, обязаны выполнять указания работников, ответственных за эксплуатацию этих переправ и зимников, сделанные в пределах их компетенции.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75. Переправа транспортных средств через водные преграды должна производиться в соответствии с требованиями нормативных правовых и нормативно-технических актов, устанавливающих порядок и правила безопасности при эксплуатации водных преград.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76. Перевозка пассажиров через ледовые переправы запрещается, за исключением районов, расположенных в I-й дорожно-климатической зоне, при условии массы-брутто транспортного средства в три раза меньше допустимой нагрузки на лед и температуре воздуха ниже минус 20° по Цельсию. Решения о пропуске транспортных средств по ледовой переправе, моменте открытия (закрытия) движения принимаются эксплуатирующей ее организацией. Решение о пропуске (об отказе в пропуске) автобусов принимает руководитель эксплуатирующей организации.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77. Технические требования к наплавным мостам, в том числе эксплуатируемым в период ледостава, определяются в соответствии с законодательством о техническом регулировании.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78. Решение о движении по наплавному мосту транспортных средств, перевозящих группы людей, принимается органами исполнительной власти субъектов Российской Федерации и органами местного самоуправления, в ведении которых находится автомобильная дорога и которыми принято решение об открытии наплавного моста.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79. В темное время суток (промежуток времени от конца вечерних сумерек до начала утренних сумерек) въезды (выезды) на переправах через водные преграды, границы трассы переправы, места посадки-высадки пассажиров должны иметь искусственное освещение (для ледовых переправ допускается установка вех со светоотражающей маркировкой). При отсутствии надлежащего освещения переправ движение транспортных сре</w:t>
      </w:r>
      <w:proofErr w:type="gramStart"/>
      <w:r>
        <w:t>дств в т</w:t>
      </w:r>
      <w:proofErr w:type="gramEnd"/>
      <w:r>
        <w:t>емное время суток по переправе запрещается.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80.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средств, шлагбаумами, техническими средствами организации дорожного движения в соответствии с действующими правилами эксплуатации этих переправ.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81.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переправой, ее технических характеристик и режима работы, наименованием, адресом и номером телефона организации, эксплуатирующей переправу.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82. Транспортные средства, выполняющие перевозки пассажиров по маршрутам регулярных перевозок, осуществляют движение по переправе через водную преграду без очереди в соответствии с расписанием их движения.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83. Расписание движения на маршрутах регулярных перевозок, осуществляемых с использованием переправ через водные преграды, должно быть увязано с режимом работы этих переправ и предусматривать достаточное время на осуществление переправы, включая высадку и посадку пассажиров.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84. Движение по переправам через водные преграды осуществляется в соответствии с правилами пользования переправой, установленными эксплуатирующей организацией.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85. </w:t>
      </w:r>
      <w:proofErr w:type="gramStart"/>
      <w:r>
        <w:t>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транспортно-эксплуатационных показателей участков автомобильных дорог, их конструктивных элементов, защитных дорожных сооружений, искусственных дорожных сооружений и элементов обустройства,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86. По маршрутам, проходящим в горной местности, запрещается эксплуатация сочлененных транспортных средств.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87. Трамваи и троллейбусы, допущенные к эксплуатации на маршрутах с особыми условиями движения, установленными </w:t>
      </w:r>
      <w:hyperlink w:anchor="Par333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ar346" w:history="1">
        <w:r>
          <w:rPr>
            <w:color w:val="0000FF"/>
          </w:rPr>
          <w:t>5 пункта 72</w:t>
        </w:r>
      </w:hyperlink>
      <w:r>
        <w:t xml:space="preserve"> настоящих Правил, должны пройти первичную эксплуатацию на маршруте, не относящемся к маршруту с особыми условиями движения.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88. Регулярная перевозка пассажиров по маршрутам с особыми условиями движения осуществляется при следующих условиях: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1) ширина проезжей части участков автомобильных дорог достаточна для безопасного разъезда транспортных сре</w:t>
      </w:r>
      <w:proofErr w:type="gramStart"/>
      <w:r>
        <w:t>дств встр</w:t>
      </w:r>
      <w:proofErr w:type="gramEnd"/>
      <w:r>
        <w:t>ечного направления;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2) участки автомобильных дорог, имеющие радиусы в плане менее 2000 метров, обустроены виражами и переходными кривыми;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3) горизонтальная и вертикальная дорожная разметка на проезжей части и элементах обустройства автомобильных дорог хорошо различима в любое время суток;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участки автомобильных дорог обозначены сигнальными столбиками и </w:t>
      </w:r>
      <w:r>
        <w:lastRenderedPageBreak/>
        <w:t>световозвращателями. Световозвращатели, используемые для оптической ориентации водителей, установлены на кривых радиусом менее 60 метров в сочетании с линиями горизонтальной разметки;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5) на серпантинах, участках автомобильных дорог в плане малого радиуса, участках, пересечениях и примыканиях с необеспеченной видимостью установлены сферические зеркала увеличенного размера (диаметром 1 000 мм и выше);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6)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движения, утвержденным в установленном порядке;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7) имеется дополнительное информационное обеспечение водителей посредством использования дорожных знаков и указателей о величине уклона, протяженности спусков и подъемов, профиле автомобильной дороги, рекомендуемой минимальной дистанции транспортных средств, наличии опасных участков на маршруте.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380"/>
      <w:bookmarkEnd w:id="23"/>
      <w:r>
        <w:t>Приложение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к Правилам обеспечения безопасности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перевозок пассажиров и грузов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автомобильным транспортом и городским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наземным электрическим транспортом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утвержденным приказом Минтранса России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от 15 января 2014 г. N 7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</w:pPr>
      <w:bookmarkStart w:id="24" w:name="Par388"/>
      <w:bookmarkEnd w:id="24"/>
      <w:r>
        <w:t>ОБЯЗАТЕЛЬНЫЕ УСЛОВИЯ ИСПОЛЬЗОВАНИЯ АВТОМОБИЛЕЙ ПРИКРЫТИЯ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sectPr w:rsidR="00936991" w:rsidSect="006C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  <w:outlineLvl w:val="2"/>
      </w:pPr>
      <w:bookmarkStart w:id="25" w:name="Par390"/>
      <w:bookmarkEnd w:id="25"/>
      <w:r>
        <w:t>Таблица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080"/>
        <w:gridCol w:w="1080"/>
        <w:gridCol w:w="1080"/>
        <w:gridCol w:w="960"/>
        <w:gridCol w:w="1080"/>
        <w:gridCol w:w="1080"/>
        <w:gridCol w:w="1080"/>
        <w:gridCol w:w="960"/>
        <w:gridCol w:w="1080"/>
        <w:gridCol w:w="960"/>
        <w:gridCol w:w="1080"/>
        <w:gridCol w:w="1080"/>
        <w:gridCol w:w="960"/>
        <w:gridCol w:w="2160"/>
      </w:tblGrid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Габаритные параметры транспортного средства или транспортного средства с грузом</w:t>
            </w:r>
          </w:p>
        </w:tc>
      </w:tr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Высота более 4,5 м</w:t>
            </w: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Ширина</w:t>
            </w:r>
          </w:p>
        </w:tc>
      </w:tr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Менее 3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3 до 3,5 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3,5 до 4 м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4 до 4,5 м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4,5 до 5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5 и более </w:t>
            </w:r>
            <w:proofErr w:type="gramStart"/>
            <w:r>
              <w:t>м</w:t>
            </w:r>
            <w:proofErr w:type="gramEnd"/>
          </w:p>
        </w:tc>
      </w:tr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Длина</w:t>
            </w:r>
          </w:p>
        </w:tc>
      </w:tr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25 до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Более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25 до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Более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Менее 25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25 до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Более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Менее 25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25 до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Более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Менее 25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25 до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Более 40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длины</w:t>
            </w:r>
          </w:p>
        </w:tc>
      </w:tr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прикрытия спереди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Определяется проектом организации дорожного движения (</w:t>
            </w:r>
            <w:hyperlink w:anchor="Par265" w:history="1">
              <w:r>
                <w:rPr>
                  <w:color w:val="0000FF"/>
                </w:rPr>
                <w:t>пункт 56</w:t>
              </w:r>
            </w:hyperlink>
            <w:r>
              <w:t xml:space="preserve"> настоящих Правил)</w:t>
            </w:r>
          </w:p>
        </w:tc>
      </w:tr>
      <w:tr w:rsidR="009369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прикрытия сзади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91" w:rsidRDefault="00936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6991" w:rsidRDefault="00936991">
      <w:pPr>
        <w:widowControl w:val="0"/>
        <w:autoSpaceDE w:val="0"/>
        <w:autoSpaceDN w:val="0"/>
        <w:adjustRightInd w:val="0"/>
        <w:jc w:val="both"/>
        <w:sectPr w:rsidR="009369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453"/>
      <w:bookmarkEnd w:id="26"/>
      <w:r>
        <w:t>Приложение N 2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приказом Минтранса России</w:t>
      </w:r>
    </w:p>
    <w:p w:rsidR="00936991" w:rsidRDefault="00936991">
      <w:pPr>
        <w:widowControl w:val="0"/>
        <w:autoSpaceDE w:val="0"/>
        <w:autoSpaceDN w:val="0"/>
        <w:adjustRightInd w:val="0"/>
        <w:jc w:val="right"/>
      </w:pPr>
      <w:r>
        <w:t>от 15 января 2014 г. N 7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459"/>
      <w:bookmarkEnd w:id="27"/>
      <w:r>
        <w:rPr>
          <w:b/>
          <w:bCs/>
        </w:rPr>
        <w:t>ПЕРЕЧЕНЬ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ПОДГОТОВКЕ РАБОТНИКОВ ЮРИДИЧЕСКИХ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 И ИНДИВИДУАЛЬНЫХ ПРЕДПРИНИМАТЕЛЕЙ, ОСУЩЕСТВЛЯЮЩИХ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ПЕРЕВОЗКИ АВТОМОБИЛЬНЫМ ТРАНСПОРТОМ И ГОРОДСКИМ НАЗЕМНЫМ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ЭЛЕКТРИЧЕСКИМ ТРАНСПОРТОМ, К БЕЗОПАСНОЙ РАБОТЕ</w:t>
      </w:r>
    </w:p>
    <w:p w:rsidR="00936991" w:rsidRDefault="009369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ТРАНСПОРТНЫХ СРЕДСТВ К БЕЗОПАСНОЙ ЭКСПЛУАТАЦИИ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1. Мероприятия по подготовке работников, осуществляющих перевозки автомобильным транспортом и городским наземным электрическим транспортом (далее - работники субъекта транспортной деятельности), к безопасной работе.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467"/>
      <w:bookmarkEnd w:id="28"/>
      <w:r>
        <w:t xml:space="preserve">1.1. </w:t>
      </w:r>
      <w:proofErr w:type="gramStart"/>
      <w:r>
        <w:t xml:space="preserve">Обеспечение прохождения профессионального отбора и профессиональной подготовки работников субъекта транспортной деятельности, замещающих должности, перечисленные в </w:t>
      </w:r>
      <w:hyperlink r:id="rId24" w:history="1">
        <w:r>
          <w:rPr>
            <w:color w:val="0000FF"/>
          </w:rPr>
          <w:t>разделе I</w:t>
        </w:r>
      </w:hyperlink>
      <w:r>
        <w:t xml:space="preserve">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утвержденного постановлением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</w:t>
      </w:r>
      <w:proofErr w:type="gramEnd"/>
      <w:r>
        <w:t xml:space="preserve"> средств" (Собрание законодательства Российской Федерации, 2008, N 4, ст. 268), и иных работников, непосредственно связанных с движением транспортных средств.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468"/>
      <w:bookmarkEnd w:id="29"/>
      <w:r>
        <w:t>1.2.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469"/>
      <w:bookmarkEnd w:id="30"/>
      <w:r>
        <w:t>1.3.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(модель) транспортного средства.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470"/>
      <w:bookmarkEnd w:id="31"/>
      <w:r>
        <w:t>1.4.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471"/>
      <w:bookmarkEnd w:id="32"/>
      <w:r>
        <w:t>1.5. Обеспечение проведения обязательных медицинских осмотров водителей.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472"/>
      <w:bookmarkEnd w:id="33"/>
      <w:r>
        <w:t>1.6. Мероприятия по совершенствованию водителями навыков оказания первой помощи пострадавшим в ДТП.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473"/>
      <w:bookmarkEnd w:id="34"/>
      <w:r>
        <w:t xml:space="preserve">1.7. Соблюдение условий работы водителей в соответствии с режимами труда и отдыха, установленными законодательством Российской Федерации, а также </w:t>
      </w:r>
      <w:proofErr w:type="gramStart"/>
      <w:r>
        <w:t>контроль за</w:t>
      </w:r>
      <w:proofErr w:type="gramEnd"/>
      <w:r>
        <w:t xml:space="preserve"> соблюдением указанных условий.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>2. Мероприятия по подготовке транспортных сре</w:t>
      </w:r>
      <w:proofErr w:type="gramStart"/>
      <w:r>
        <w:t>дств к б</w:t>
      </w:r>
      <w:proofErr w:type="gramEnd"/>
      <w:r>
        <w:t>езопасной эксплуатации.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Проверка соответствия транспортных средств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осуществляемым перевозкам пассажиров и грузов.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 xml:space="preserve">Проверка наличия действующей разрешительной документации, необходимой для допуска к участию транспортного средства в дорожном движении в соответствии с </w:t>
      </w:r>
      <w:r>
        <w:lastRenderedPageBreak/>
        <w:t>законодательством Российской Федерации (свидетельство о регистрации транспортного средства, страховой полис обязательного страхования гражданской ответственности владельцев транспортных средств, лицензия на осуществление пассажирских перевозок, путевой лист, а также иные документы, необходимые для осуществления конкретных видов перевозок в соответствии с законодательством Российской Федерации).</w:t>
      </w:r>
      <w:proofErr w:type="gramEnd"/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477"/>
      <w:bookmarkEnd w:id="35"/>
      <w:r>
        <w:t>2.3. Поддержание транспортных сре</w:t>
      </w:r>
      <w:proofErr w:type="gramStart"/>
      <w:r>
        <w:t>дств в т</w:t>
      </w:r>
      <w:proofErr w:type="gramEnd"/>
      <w:r>
        <w:t>ехнически исправном состоянии в соответствии с инструкцией по эксплуатации изготовителя транспортного средства.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478"/>
      <w:bookmarkEnd w:id="36"/>
      <w:r>
        <w:t>2.4. Проведение работ по техническому обслуживанию и ремонту транспортных сре</w:t>
      </w:r>
      <w:proofErr w:type="gramStart"/>
      <w:r>
        <w:t>дств в п</w:t>
      </w:r>
      <w:proofErr w:type="gramEnd"/>
      <w:r>
        <w:t>орядке и объемах, определяемых технической и эксплуатационной документацией изготовителей транспортных средств.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479"/>
      <w:bookmarkEnd w:id="37"/>
      <w:r>
        <w:t>2.5.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>
        <w:t>дств в п</w:t>
      </w:r>
      <w:proofErr w:type="gramEnd"/>
      <w:r>
        <w:t>утевом листе.</w:t>
      </w:r>
    </w:p>
    <w:p w:rsidR="00936991" w:rsidRDefault="00936991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480"/>
      <w:bookmarkEnd w:id="38"/>
      <w:r>
        <w:t>2.6. Обеспечение стоянки (хранения) транспортных средств, исключающее доступ к ним посторонних лиц, а также самовольное их использование водителями субъектов транспортной деятельности.</w:t>
      </w: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autoSpaceDE w:val="0"/>
        <w:autoSpaceDN w:val="0"/>
        <w:adjustRightInd w:val="0"/>
        <w:jc w:val="both"/>
      </w:pPr>
    </w:p>
    <w:p w:rsidR="00936991" w:rsidRDefault="009369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000A9" w:rsidRDefault="005000A9"/>
    <w:sectPr w:rsidR="005000A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91"/>
    <w:rsid w:val="005000A9"/>
    <w:rsid w:val="005376BE"/>
    <w:rsid w:val="009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A2C93CFA5F18C19A6CFCDF9f7F7F" TargetMode="External"/><Relationship Id="rId13" Type="http://schemas.openxmlformats.org/officeDocument/2006/relationships/hyperlink" Target="consultantplus://offline/ref=0B48B5FCBB9E88076295231D1DF1DC67E4DD2795CFA2F18C19A6CFCDF97788F1BF826CE16E394787f4F1F" TargetMode="External"/><Relationship Id="rId18" Type="http://schemas.openxmlformats.org/officeDocument/2006/relationships/hyperlink" Target="consultantplus://offline/ref=0B48B5FCBB9E88076295231D1DF1DC67E4DD2095CCA0F18C19A6CFCDF97788F1BF826CE16E394083f4F0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0B48B5FCBB9E88076295231D1DF1DC67E1DD2694CDA9AC8611FFC3CFfFFEF" TargetMode="External"/><Relationship Id="rId12" Type="http://schemas.openxmlformats.org/officeDocument/2006/relationships/hyperlink" Target="consultantplus://offline/ref=0B48B5FCBB9E88076295231D1DF1DC67E4DF2D96CBA4F18C19A6CFCDF9f7F7F" TargetMode="External"/><Relationship Id="rId17" Type="http://schemas.openxmlformats.org/officeDocument/2006/relationships/hyperlink" Target="consultantplus://offline/ref=0B48B5FCBB9E88076295231D1DF1DC67E4DD2095CCA0F18C19A6CFCDF97788F1BF826CE16E394083f4F0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8B5FCBB9E88076295231D1DF1DC67E4DD2095CCA0F18C19A6CFCDF9f7F7F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B48B5FCBB9E88076295231D1DF1DC67E4D82291CDA2F18C19A6CFCDF9f7F7F" TargetMode="External"/><Relationship Id="rId11" Type="http://schemas.openxmlformats.org/officeDocument/2006/relationships/hyperlink" Target="consultantplus://offline/ref=0B48B5FCBB9E88076295231D1DF1DC67E4DE2291CAA2F18C19A6CFCDF97788F1BF826CE16E394180f4F2F" TargetMode="External"/><Relationship Id="rId24" Type="http://schemas.openxmlformats.org/officeDocument/2006/relationships/hyperlink" Target="consultantplus://offline/ref=0B48B5FCBB9E88076295231D1DF1DC67E2DF269FC2A9AC8611FFC3CFFE78D7E6B8CB60E06E3940f8FBF" TargetMode="External"/><Relationship Id="rId5" Type="http://schemas.openxmlformats.org/officeDocument/2006/relationships/hyperlink" Target="consultantplus://offline/ref=0B48B5FCBB9E88076295231D1DF1DC67E6DD2093C1F4A68E48F3C1fCF8F" TargetMode="External"/><Relationship Id="rId15" Type="http://schemas.openxmlformats.org/officeDocument/2006/relationships/hyperlink" Target="consultantplus://offline/ref=0B48B5FCBB9E88076295231D1DF1DC67E4DD2095CCA0F18C19A6CFCDF97788F1BF826CE16E394185f4F6F" TargetMode="External"/><Relationship Id="rId23" Type="http://schemas.openxmlformats.org/officeDocument/2006/relationships/image" Target="media/image5.wmf"/><Relationship Id="rId10" Type="http://schemas.openxmlformats.org/officeDocument/2006/relationships/hyperlink" Target="consultantplus://offline/ref=0B48B5FCBB9E88076295231D1DF1DC67E4DE2291CAA2F18C19A6CFCDF97788F1BF826CE16E394280f4F1F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8B5FCBB9E88076295231D1DF1DC67E4D82291CEA0F18C19A6CFCDF97788F1BF826CE16E394082f4F4F" TargetMode="External"/><Relationship Id="rId14" Type="http://schemas.openxmlformats.org/officeDocument/2006/relationships/hyperlink" Target="consultantplus://offline/ref=0B48B5FCBB9E88076295231D1DF1DC67E4D92291C2A7F18C19A6CFCDF97788F1BF826CE16E394083f4F3F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Владимировна</dc:creator>
  <cp:lastModifiedBy>Николаева Татьяна Владимировна</cp:lastModifiedBy>
  <cp:revision>1</cp:revision>
  <dcterms:created xsi:type="dcterms:W3CDTF">2014-07-01T05:05:00Z</dcterms:created>
  <dcterms:modified xsi:type="dcterms:W3CDTF">2014-07-01T05:06:00Z</dcterms:modified>
</cp:coreProperties>
</file>